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854" w:rsidRPr="00B12CE7" w:rsidRDefault="00A92854" w:rsidP="00AE14B7">
      <w:pPr>
        <w:spacing w:after="120" w:line="360" w:lineRule="auto"/>
        <w:jc w:val="center"/>
        <w:rPr>
          <w:rFonts w:ascii="FrankRuehl" w:eastAsia="FrankRuehl" w:hAnsi="FrankRuehl" w:cs="FrankRuehl"/>
          <w:b/>
          <w:color w:val="1F4E79" w:themeColor="accent1" w:themeShade="80"/>
          <w:sz w:val="40"/>
          <w:szCs w:val="40"/>
          <w:u w:val="single"/>
          <w:rtl/>
        </w:rPr>
      </w:pPr>
      <w:bookmarkStart w:id="0" w:name="_GoBack"/>
      <w:bookmarkEnd w:id="0"/>
    </w:p>
    <w:p w:rsidR="00AE14B7" w:rsidRPr="00B12CE7" w:rsidRDefault="00AE14B7" w:rsidP="00AE14B7">
      <w:pPr>
        <w:spacing w:after="120" w:line="360" w:lineRule="auto"/>
        <w:jc w:val="center"/>
        <w:rPr>
          <w:rFonts w:ascii="FrankRuehl" w:eastAsia="FrankRuehl" w:hAnsi="FrankRuehl" w:cs="FrankRuehl"/>
          <w:b/>
          <w:color w:val="1F4E79" w:themeColor="accent1" w:themeShade="80"/>
          <w:sz w:val="40"/>
          <w:szCs w:val="40"/>
          <w:u w:val="single"/>
        </w:rPr>
      </w:pPr>
      <w:r w:rsidRPr="00B12CE7">
        <w:rPr>
          <w:rFonts w:ascii="FrankRuehl" w:eastAsia="FrankRuehl" w:hAnsi="FrankRuehl" w:cs="FrankRuehl"/>
          <w:b/>
          <w:color w:val="1F4E79" w:themeColor="accent1" w:themeShade="80"/>
          <w:sz w:val="40"/>
          <w:szCs w:val="40"/>
          <w:u w:val="single"/>
          <w:rtl/>
        </w:rPr>
        <w:t>תקציר גזר-דין</w:t>
      </w:r>
    </w:p>
    <w:p w:rsidR="00DA6B8B" w:rsidRPr="00B12CE7" w:rsidRDefault="00DA6B8B" w:rsidP="00DA6B8B">
      <w:pPr>
        <w:tabs>
          <w:tab w:val="left" w:pos="800"/>
        </w:tabs>
        <w:ind w:left="543" w:right="567"/>
        <w:jc w:val="center"/>
        <w:rPr>
          <w:rFonts w:ascii="FrankRuehl" w:eastAsia="FrankRuehl" w:hAnsi="FrankRuehl" w:cs="FrankRuehl"/>
          <w:b/>
          <w:color w:val="1F4E79" w:themeColor="accent1" w:themeShade="80"/>
          <w:sz w:val="32"/>
          <w:szCs w:val="32"/>
          <w:u w:val="single"/>
        </w:rPr>
      </w:pPr>
      <w:r w:rsidRPr="00B12CE7">
        <w:rPr>
          <w:rFonts w:ascii="FrankRuehl" w:eastAsia="FrankRuehl" w:hAnsi="FrankRuehl" w:cs="FrankRuehl"/>
          <w:b/>
          <w:color w:val="1F4E79" w:themeColor="accent1" w:themeShade="80"/>
          <w:sz w:val="32"/>
          <w:szCs w:val="32"/>
          <w:u w:val="single"/>
          <w:rtl/>
        </w:rPr>
        <w:t>ת"</w:t>
      </w:r>
      <w:r w:rsidRPr="00B12CE7">
        <w:rPr>
          <w:rFonts w:ascii="FrankRuehl" w:eastAsia="FrankRuehl" w:hAnsi="FrankRuehl" w:cs="FrankRuehl" w:hint="cs"/>
          <w:b/>
          <w:color w:val="1F4E79" w:themeColor="accent1" w:themeShade="80"/>
          <w:sz w:val="32"/>
          <w:szCs w:val="32"/>
          <w:u w:val="single"/>
          <w:rtl/>
        </w:rPr>
        <w:t xml:space="preserve">א 55027-02-22 </w:t>
      </w:r>
      <w:r w:rsidRPr="00B12CE7">
        <w:rPr>
          <w:rFonts w:ascii="FrankRuehl" w:eastAsia="FrankRuehl" w:hAnsi="FrankRuehl" w:cs="FrankRuehl"/>
          <w:b/>
          <w:color w:val="1F4E79" w:themeColor="accent1" w:themeShade="80"/>
          <w:sz w:val="32"/>
          <w:szCs w:val="32"/>
          <w:u w:val="single"/>
          <w:rtl/>
        </w:rPr>
        <w:t xml:space="preserve">יאסר עוקבי נ' מדינת ישראל </w:t>
      </w:r>
    </w:p>
    <w:p w:rsidR="00AE14B7" w:rsidRPr="00B12CE7" w:rsidRDefault="00DA6B8B" w:rsidP="00DA6B8B">
      <w:pPr>
        <w:spacing w:after="120"/>
        <w:jc w:val="center"/>
        <w:rPr>
          <w:rFonts w:ascii="FrankRuehl" w:eastAsia="FrankRuehl" w:hAnsi="FrankRuehl" w:cs="FrankRuehl"/>
          <w:b/>
          <w:color w:val="1F4E79" w:themeColor="accent1" w:themeShade="80"/>
          <w:sz w:val="32"/>
          <w:szCs w:val="32"/>
          <w:rtl/>
        </w:rPr>
      </w:pPr>
      <w:r w:rsidRPr="00B12CE7">
        <w:rPr>
          <w:rFonts w:ascii="FrankRuehl" w:eastAsia="FrankRuehl" w:hAnsi="FrankRuehl" w:cs="FrankRuehl" w:hint="cs"/>
          <w:b/>
          <w:color w:val="1F4E79" w:themeColor="accent1" w:themeShade="80"/>
          <w:sz w:val="32"/>
          <w:szCs w:val="32"/>
          <w:u w:val="single"/>
          <w:rtl/>
        </w:rPr>
        <w:t>הנשיא עמית יריב</w:t>
      </w:r>
      <w:r w:rsidRPr="00B12CE7">
        <w:rPr>
          <w:rFonts w:ascii="FrankRuehl" w:eastAsia="FrankRuehl" w:hAnsi="FrankRuehl" w:cs="FrankRuehl"/>
          <w:b/>
          <w:color w:val="1F4E79" w:themeColor="accent1" w:themeShade="80"/>
          <w:sz w:val="32"/>
          <w:szCs w:val="32"/>
          <w:u w:val="single"/>
          <w:rtl/>
        </w:rPr>
        <w:t xml:space="preserve">, בית </w:t>
      </w:r>
      <w:r w:rsidRPr="00B12CE7">
        <w:rPr>
          <w:rFonts w:ascii="FrankRuehl" w:eastAsia="FrankRuehl" w:hAnsi="FrankRuehl" w:cs="FrankRuehl" w:hint="cs"/>
          <w:b/>
          <w:color w:val="1F4E79" w:themeColor="accent1" w:themeShade="80"/>
          <w:sz w:val="32"/>
          <w:szCs w:val="32"/>
          <w:u w:val="single"/>
          <w:rtl/>
        </w:rPr>
        <w:t>משפט השלום באר שבע</w:t>
      </w:r>
    </w:p>
    <w:p w:rsidR="00F50C6F" w:rsidRPr="00B12CE7" w:rsidRDefault="00F50C6F" w:rsidP="00DA6B8B">
      <w:pPr>
        <w:spacing w:after="120"/>
        <w:jc w:val="center"/>
        <w:rPr>
          <w:rFonts w:ascii="FrankRuehl" w:eastAsia="FrankRuehl" w:hAnsi="FrankRuehl" w:cs="FrankRuehl"/>
          <w:b/>
          <w:color w:val="1F4E79" w:themeColor="accent1" w:themeShade="80"/>
          <w:sz w:val="32"/>
          <w:szCs w:val="32"/>
          <w:rtl/>
        </w:rPr>
      </w:pPr>
    </w:p>
    <w:p w:rsidR="00C465BD" w:rsidRPr="00B12CE7" w:rsidRDefault="00C465BD" w:rsidP="00A92854">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tl/>
        </w:rPr>
      </w:pPr>
      <w:r w:rsidRPr="00B12CE7">
        <w:rPr>
          <w:rFonts w:ascii="FrankRuehl" w:eastAsia="Arimo" w:hAnsi="FrankRuehl" w:cs="FrankRuehl"/>
          <w:color w:val="1F4E79" w:themeColor="accent1" w:themeShade="80"/>
          <w:sz w:val="26"/>
          <w:szCs w:val="26"/>
          <w:rtl/>
        </w:rPr>
        <w:t xml:space="preserve">בית משפט השלום באר שבע (הנשיא </w:t>
      </w:r>
      <w:r w:rsidRPr="00B12CE7">
        <w:rPr>
          <w:rFonts w:ascii="FrankRuehl" w:eastAsia="Century" w:hAnsi="FrankRuehl" w:cs="FrankRuehl"/>
          <w:b/>
          <w:color w:val="1F4E79" w:themeColor="accent1" w:themeShade="80"/>
          <w:sz w:val="26"/>
          <w:szCs w:val="26"/>
          <w:rtl/>
        </w:rPr>
        <w:t>עמית יריב</w:t>
      </w:r>
      <w:r w:rsidRPr="00B12CE7">
        <w:rPr>
          <w:rFonts w:ascii="FrankRuehl" w:eastAsia="Arimo" w:hAnsi="FrankRuehl" w:cs="FrankRuehl"/>
          <w:color w:val="1F4E79" w:themeColor="accent1" w:themeShade="80"/>
          <w:sz w:val="26"/>
          <w:szCs w:val="26"/>
          <w:rtl/>
        </w:rPr>
        <w:t>) קיבל</w:t>
      </w:r>
      <w:r w:rsidR="00A92854" w:rsidRPr="00B12CE7">
        <w:rPr>
          <w:rFonts w:ascii="FrankRuehl" w:eastAsia="Arimo" w:hAnsi="FrankRuehl" w:cs="FrankRuehl" w:hint="cs"/>
          <w:color w:val="1F4E79" w:themeColor="accent1" w:themeShade="80"/>
          <w:sz w:val="26"/>
          <w:szCs w:val="26"/>
          <w:rtl/>
        </w:rPr>
        <w:t xml:space="preserve"> היום (22.09.2024)</w:t>
      </w:r>
      <w:r w:rsidRPr="00B12CE7">
        <w:rPr>
          <w:rFonts w:ascii="FrankRuehl" w:eastAsia="Arimo" w:hAnsi="FrankRuehl" w:cs="FrankRuehl"/>
          <w:color w:val="1F4E79" w:themeColor="accent1" w:themeShade="80"/>
          <w:sz w:val="26"/>
          <w:szCs w:val="26"/>
          <w:rtl/>
        </w:rPr>
        <w:t xml:space="preserve"> תביעה שהגיש העיתונאי יאסר עוקבי נגד משטרת ישראל, וחייב את המשטרה לפצות את מר עוקבי בסך </w:t>
      </w:r>
      <w:r w:rsidR="00893378" w:rsidRPr="00B12CE7">
        <w:rPr>
          <w:rFonts w:ascii="FrankRuehl" w:eastAsia="Arimo" w:hAnsi="FrankRuehl" w:cs="FrankRuehl" w:hint="cs"/>
          <w:color w:val="1F4E79" w:themeColor="accent1" w:themeShade="80"/>
          <w:sz w:val="26"/>
          <w:szCs w:val="26"/>
          <w:rtl/>
        </w:rPr>
        <w:t>20,000</w:t>
      </w:r>
      <w:r w:rsidR="00A92854" w:rsidRPr="00B12CE7">
        <w:rPr>
          <w:rFonts w:ascii="FrankRuehl" w:eastAsia="Arimo" w:hAnsi="FrankRuehl" w:cs="FrankRuehl"/>
          <w:color w:val="1F4E79" w:themeColor="accent1" w:themeShade="80"/>
          <w:sz w:val="26"/>
          <w:szCs w:val="26"/>
          <w:rtl/>
        </w:rPr>
        <w:t xml:space="preserve"> </w:t>
      </w:r>
      <w:r w:rsidR="00A92854" w:rsidRPr="00B12CE7">
        <w:rPr>
          <w:rFonts w:ascii="FrankRuehl" w:eastAsia="Arimo" w:hAnsi="FrankRuehl" w:cs="FrankRuehl" w:hint="cs"/>
          <w:color w:val="1F4E79" w:themeColor="accent1" w:themeShade="80"/>
          <w:sz w:val="26"/>
          <w:szCs w:val="26"/>
          <w:rtl/>
        </w:rPr>
        <w:t xml:space="preserve">ש"ח </w:t>
      </w:r>
      <w:r w:rsidRPr="00B12CE7">
        <w:rPr>
          <w:rFonts w:ascii="FrankRuehl" w:eastAsia="Arimo" w:hAnsi="FrankRuehl" w:cs="FrankRuehl"/>
          <w:color w:val="1F4E79" w:themeColor="accent1" w:themeShade="80"/>
          <w:sz w:val="26"/>
          <w:szCs w:val="26"/>
          <w:rtl/>
        </w:rPr>
        <w:t xml:space="preserve">בגין עיכובו שלא כדין והחרמת מכשיר הטלפון הסלולרי שלו שלא כדין. משטרת ישראל חויבה גם בהוצאותיו של התובע בסך 5,000 ש"ח ובשכר טרחת עורכי דין בסך 11,700 </w:t>
      </w:r>
      <w:r w:rsidR="00A92854" w:rsidRPr="00B12CE7">
        <w:rPr>
          <w:rFonts w:ascii="FrankRuehl" w:eastAsia="Arimo" w:hAnsi="FrankRuehl" w:cs="FrankRuehl" w:hint="cs"/>
          <w:color w:val="1F4E79" w:themeColor="accent1" w:themeShade="80"/>
          <w:sz w:val="26"/>
          <w:szCs w:val="26"/>
          <w:rtl/>
        </w:rPr>
        <w:t>ש"ח</w:t>
      </w:r>
      <w:r w:rsidRPr="00B12CE7">
        <w:rPr>
          <w:rFonts w:ascii="FrankRuehl" w:eastAsia="Arimo" w:hAnsi="FrankRuehl" w:cs="FrankRuehl"/>
          <w:color w:val="1F4E79" w:themeColor="accent1" w:themeShade="80"/>
          <w:sz w:val="26"/>
          <w:szCs w:val="26"/>
          <w:rtl/>
        </w:rPr>
        <w:t xml:space="preserve">. </w:t>
      </w:r>
    </w:p>
    <w:p w:rsidR="00C465BD" w:rsidRPr="00B12CE7" w:rsidRDefault="00C465BD"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Pr>
      </w:pPr>
      <w:r w:rsidRPr="00B12CE7">
        <w:rPr>
          <w:rFonts w:ascii="FrankRuehl" w:eastAsia="Arimo" w:hAnsi="FrankRuehl" w:cs="FrankRuehl"/>
          <w:color w:val="1F4E79" w:themeColor="accent1" w:themeShade="80"/>
          <w:sz w:val="26"/>
          <w:szCs w:val="26"/>
          <w:rtl/>
        </w:rPr>
        <w:t xml:space="preserve">ההליך עסק באירועים שהתרחשו בחודש ינואר 2022. התובע, עיתונאי עצמאי, הגיע לסקר את הפרות הסדר שאירעו על רקע מבצע נטיעות של הקרן הקיימת לישראל בשטחי הנגב. בסיומו </w:t>
      </w:r>
      <w:r w:rsidRPr="00B12CE7">
        <w:rPr>
          <w:rFonts w:ascii="FrankRuehl" w:eastAsia="Arimo" w:hAnsi="FrankRuehl" w:cs="FrankRuehl"/>
          <w:color w:val="1F4E79" w:themeColor="accent1" w:themeShade="80"/>
          <w:sz w:val="26"/>
          <w:szCs w:val="26"/>
          <w:rtl/>
        </w:rPr>
        <w:lastRenderedPageBreak/>
        <w:t xml:space="preserve">של האירוע, עוכב התובע ומכשיר הטלפון הסלולרי שלו נלקח ממנו. הוא הובא לתחנת המשטרה, שם נערכו עליו שני חיפושים, ובסופו של דבר, שוחרר כעבור כ-3.5 שעות מבלי שנחקר כלל. </w:t>
      </w:r>
    </w:p>
    <w:p w:rsidR="00C465BD" w:rsidRPr="00B12CE7" w:rsidRDefault="00C465BD"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Pr>
      </w:pPr>
      <w:r w:rsidRPr="00B12CE7">
        <w:rPr>
          <w:rFonts w:ascii="FrankRuehl" w:eastAsia="Arimo" w:hAnsi="FrankRuehl" w:cs="FrankRuehl"/>
          <w:color w:val="1F4E79" w:themeColor="accent1" w:themeShade="80"/>
          <w:sz w:val="26"/>
          <w:szCs w:val="26"/>
          <w:rtl/>
        </w:rPr>
        <w:t>בית המשפט דחה את טענות המשטרה, שלפיה העיתונאי סירב להזדהות והתסיס את הקהל. נקבע, על יסוד עדויות של הקצין הבכיר בזירה, סנ"צ יורי מזובובסקי, כי התקרית בין סנ"צ מזובובסקי ובין העיתונאי, שבעקבותיה עוכב העיתונאי והובא לתחנת המשטרה, אירעה לאחר שכוחות המשטרה השלימו את פינוי השטח ממפגינים. עוד נקבע, כי טענת המשטרה כאילו העיתונאי סירב להזדהות אינה נכונה, וכי טענת המשטרה ל"איומים" כלפי קצין המשטרה נוגעת לאמירתו של העיתונאי לקצין, כי בכוונתו להגיש תלונה רשמית על התנהלותו של הקצין.</w:t>
      </w:r>
    </w:p>
    <w:p w:rsidR="00C465BD" w:rsidRPr="00B12CE7" w:rsidRDefault="00C465BD"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tl/>
        </w:rPr>
      </w:pPr>
      <w:r w:rsidRPr="00B12CE7">
        <w:rPr>
          <w:rFonts w:ascii="FrankRuehl" w:eastAsia="Arimo" w:hAnsi="FrankRuehl" w:cs="FrankRuehl"/>
          <w:color w:val="1F4E79" w:themeColor="accent1" w:themeShade="80"/>
          <w:sz w:val="26"/>
          <w:szCs w:val="26"/>
          <w:rtl/>
        </w:rPr>
        <w:t xml:space="preserve">בית המשפט קבע כי לא זו בלבד שעיכובו של העיתונאי נעשה ללא עילה חוקית, אזי ההתייחסות לעיתונאי לאחר שהובא </w:t>
      </w:r>
      <w:r w:rsidRPr="00B12CE7">
        <w:rPr>
          <w:rFonts w:ascii="FrankRuehl" w:eastAsia="Arimo" w:hAnsi="FrankRuehl" w:cs="FrankRuehl"/>
          <w:color w:val="1F4E79" w:themeColor="accent1" w:themeShade="80"/>
          <w:sz w:val="26"/>
          <w:szCs w:val="26"/>
          <w:rtl/>
        </w:rPr>
        <w:lastRenderedPageBreak/>
        <w:t>לתחנת המשטרה הייתה כאל עצור, אף שבשום שלב הוא לא נעצר באופן חוקי, כי החיפושים שנערכו עליו נערכו שלא על פי נוהלי המשטרה, וכי משך עיכובו חרג מפרק הזמן המרבי הקבוע בחוק.</w:t>
      </w:r>
    </w:p>
    <w:p w:rsidR="00E0570F" w:rsidRPr="00B12CE7" w:rsidRDefault="00E0570F"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tl/>
        </w:rPr>
      </w:pPr>
    </w:p>
    <w:p w:rsidR="00E0570F" w:rsidRPr="00B12CE7" w:rsidRDefault="00E0570F"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Pr>
      </w:pPr>
    </w:p>
    <w:p w:rsidR="00C465BD" w:rsidRPr="00B12CE7" w:rsidRDefault="00C465BD"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Pr>
      </w:pPr>
      <w:r w:rsidRPr="00B12CE7">
        <w:rPr>
          <w:rFonts w:ascii="FrankRuehl" w:eastAsia="Arimo" w:hAnsi="FrankRuehl" w:cs="FrankRuehl"/>
          <w:color w:val="1F4E79" w:themeColor="accent1" w:themeShade="80"/>
          <w:sz w:val="26"/>
          <w:szCs w:val="26"/>
          <w:rtl/>
        </w:rPr>
        <w:tab/>
        <w:t>בית המשפט ציין בפסק הדין כי:</w:t>
      </w:r>
    </w:p>
    <w:p w:rsidR="00C465BD" w:rsidRPr="00B12CE7" w:rsidRDefault="00C465BD" w:rsidP="00C465BD">
      <w:pPr>
        <w:pBdr>
          <w:top w:val="nil"/>
          <w:left w:val="nil"/>
          <w:bottom w:val="nil"/>
          <w:right w:val="nil"/>
          <w:between w:val="nil"/>
        </w:pBdr>
        <w:tabs>
          <w:tab w:val="left" w:pos="800"/>
        </w:tabs>
        <w:spacing w:before="120" w:after="240" w:line="360" w:lineRule="auto"/>
        <w:ind w:left="1440" w:right="1701" w:hanging="897"/>
        <w:jc w:val="both"/>
        <w:rPr>
          <w:rFonts w:ascii="FrankRuehl" w:eastAsia="Arimo" w:hAnsi="FrankRuehl" w:cs="FrankRuehl"/>
          <w:color w:val="1F4E79" w:themeColor="accent1" w:themeShade="80"/>
          <w:sz w:val="26"/>
          <w:szCs w:val="26"/>
        </w:rPr>
      </w:pPr>
      <w:r w:rsidRPr="00B12CE7">
        <w:rPr>
          <w:rFonts w:ascii="Miriam" w:eastAsia="Miriam" w:hAnsi="Miriam" w:cs="Miriam"/>
          <w:color w:val="1F4E79" w:themeColor="accent1" w:themeShade="80"/>
          <w:sz w:val="23"/>
          <w:szCs w:val="23"/>
        </w:rPr>
        <w:tab/>
      </w:r>
      <w:r w:rsidRPr="00B12CE7">
        <w:rPr>
          <w:rFonts w:ascii="Miriam" w:eastAsia="Miriam" w:hAnsi="Miriam" w:cs="Miriam"/>
          <w:color w:val="1F4E79" w:themeColor="accent1" w:themeShade="80"/>
          <w:sz w:val="23"/>
          <w:szCs w:val="23"/>
        </w:rPr>
        <w:tab/>
      </w:r>
      <w:r w:rsidRPr="00B12CE7">
        <w:rPr>
          <w:rFonts w:ascii="David" w:eastAsia="David" w:hAnsi="David" w:cs="David"/>
          <w:color w:val="1F4E79" w:themeColor="accent1" w:themeShade="80"/>
          <w:sz w:val="24"/>
          <w:szCs w:val="24"/>
        </w:rPr>
        <w:t>"</w:t>
      </w:r>
      <w:r w:rsidRPr="00B12CE7">
        <w:rPr>
          <w:rFonts w:ascii="Miriam" w:eastAsia="Miriam" w:hAnsi="Miriam" w:cs="Miriam"/>
          <w:color w:val="1F4E79" w:themeColor="accent1" w:themeShade="80"/>
          <w:sz w:val="23"/>
          <w:szCs w:val="23"/>
          <w:rtl/>
        </w:rPr>
        <w:t xml:space="preserve">תפקידה של משטרת ישראל בשמירת הסדר הציבורי הוא תפקיד חשוב ומורכב. על המשטרה לשמור על הסדר הציבורי, למנוע פגיעה בנפש וברכוש, ולהבטיח את שלומם ואת ביטחונם של התושבים. עם זאת, תפקידה הוא גם להבטיח את הזכות הבסיסית של אזרחים במשטר דמוקרטי </w:t>
      </w:r>
      <w:r w:rsidRPr="00B12CE7">
        <w:rPr>
          <w:rFonts w:ascii="FrankRuehl" w:eastAsia="Arimo" w:hAnsi="FrankRuehl" w:cs="FrankRuehl"/>
          <w:color w:val="1F4E79" w:themeColor="accent1" w:themeShade="80"/>
          <w:sz w:val="26"/>
          <w:szCs w:val="26"/>
          <w:rtl/>
        </w:rPr>
        <w:t>למחות ולהפגין.</w:t>
      </w:r>
      <w:r w:rsidRPr="00B12CE7">
        <w:rPr>
          <w:rFonts w:ascii="FrankRuehl" w:eastAsia="Arimo" w:hAnsi="FrankRuehl" w:cs="FrankRuehl"/>
          <w:color w:val="1F4E79" w:themeColor="accent1" w:themeShade="80"/>
          <w:sz w:val="26"/>
          <w:szCs w:val="26"/>
        </w:rPr>
        <w:t>"</w:t>
      </w:r>
    </w:p>
    <w:p w:rsidR="00C465BD" w:rsidRPr="00B12CE7" w:rsidRDefault="00C465BD"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Pr>
      </w:pPr>
      <w:r w:rsidRPr="00B12CE7">
        <w:rPr>
          <w:rFonts w:ascii="FrankRuehl" w:eastAsia="Arimo" w:hAnsi="FrankRuehl" w:cs="FrankRuehl"/>
          <w:color w:val="1F4E79" w:themeColor="accent1" w:themeShade="80"/>
          <w:sz w:val="26"/>
          <w:szCs w:val="26"/>
          <w:rtl/>
        </w:rPr>
        <w:tab/>
        <w:t>בית המשפט הוסיף והבהיר כי:</w:t>
      </w:r>
    </w:p>
    <w:p w:rsidR="00C465BD" w:rsidRPr="00B12CE7" w:rsidRDefault="00C465BD" w:rsidP="00C465BD">
      <w:pPr>
        <w:pBdr>
          <w:top w:val="nil"/>
          <w:left w:val="nil"/>
          <w:bottom w:val="nil"/>
          <w:right w:val="nil"/>
          <w:between w:val="nil"/>
        </w:pBdr>
        <w:tabs>
          <w:tab w:val="left" w:pos="800"/>
        </w:tabs>
        <w:spacing w:before="120" w:after="240" w:line="360" w:lineRule="auto"/>
        <w:ind w:left="1440" w:right="1701" w:hanging="897"/>
        <w:jc w:val="both"/>
        <w:rPr>
          <w:rFonts w:ascii="Miriam" w:eastAsia="Miriam" w:hAnsi="Miriam" w:cs="Miriam"/>
          <w:color w:val="1F4E79" w:themeColor="accent1" w:themeShade="80"/>
          <w:sz w:val="23"/>
          <w:szCs w:val="23"/>
        </w:rPr>
      </w:pPr>
      <w:r w:rsidRPr="00B12CE7">
        <w:rPr>
          <w:rFonts w:ascii="Arimo" w:eastAsia="Arimo" w:hAnsi="Arimo" w:cs="Arimo"/>
          <w:color w:val="1F4E79" w:themeColor="accent1" w:themeShade="80"/>
        </w:rPr>
        <w:lastRenderedPageBreak/>
        <w:tab/>
      </w:r>
      <w:r w:rsidRPr="00B12CE7">
        <w:rPr>
          <w:rFonts w:ascii="Arimo" w:eastAsia="Arimo" w:hAnsi="Arimo" w:cs="Arimo"/>
          <w:color w:val="1F4E79" w:themeColor="accent1" w:themeShade="80"/>
        </w:rPr>
        <w:tab/>
      </w:r>
      <w:r w:rsidRPr="00B12CE7">
        <w:rPr>
          <w:rFonts w:ascii="Miriam" w:eastAsia="Miriam" w:hAnsi="Miriam" w:cs="Miriam"/>
          <w:color w:val="1F4E79" w:themeColor="accent1" w:themeShade="80"/>
          <w:sz w:val="23"/>
          <w:szCs w:val="23"/>
          <w:rtl/>
        </w:rPr>
        <w:t>"הסמכות לעכב אדם, ודאי הסמכות לעצור אדם ללא צו שופט, אינה מיועדת לצורכי הרתעה, לצורכי ענישה או לצורכי 'חינוך' של מי שאינו מתנהג כשורה. הסמכות לשלול מאדם את חירותו – גם אם "רק" בדרך של עיכובו והבאתו לתחנת המשטרה – היא סמכות שיש להתייחס אליה ברצינות המתחייבת ממעמדו החשוב של ערך החירות; אין להשלים עם שימוש בסמכויות העיכוב והמעצר ללא צורך אמיתי".</w:t>
      </w:r>
    </w:p>
    <w:p w:rsidR="00C465BD" w:rsidRPr="00B12CE7" w:rsidRDefault="00C465BD"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Pr>
      </w:pPr>
      <w:r w:rsidRPr="00B12CE7">
        <w:rPr>
          <w:rFonts w:ascii="FrankRuehl" w:eastAsia="Arimo" w:hAnsi="FrankRuehl" w:cs="FrankRuehl"/>
          <w:color w:val="1F4E79" w:themeColor="accent1" w:themeShade="80"/>
          <w:sz w:val="26"/>
          <w:szCs w:val="26"/>
          <w:rtl/>
        </w:rPr>
        <w:tab/>
        <w:t>בית המשפט הבהיר, כי הפיצוי שנפסק גבוה מן המקובל בפסיקה במקרים דומים, אך ציין כי:</w:t>
      </w:r>
    </w:p>
    <w:p w:rsidR="00C465BD" w:rsidRPr="00B12CE7" w:rsidRDefault="00C465BD" w:rsidP="00C465BD">
      <w:pPr>
        <w:pBdr>
          <w:top w:val="nil"/>
          <w:left w:val="nil"/>
          <w:bottom w:val="nil"/>
          <w:right w:val="nil"/>
          <w:between w:val="nil"/>
        </w:pBdr>
        <w:tabs>
          <w:tab w:val="left" w:pos="800"/>
        </w:tabs>
        <w:spacing w:before="120" w:after="240" w:line="360" w:lineRule="auto"/>
        <w:ind w:left="1440" w:right="1701" w:hanging="897"/>
        <w:jc w:val="both"/>
        <w:rPr>
          <w:rFonts w:ascii="Arimo" w:eastAsia="Arimo" w:hAnsi="Arimo" w:cs="Arimo"/>
          <w:color w:val="1F4E79" w:themeColor="accent1" w:themeShade="80"/>
        </w:rPr>
      </w:pPr>
      <w:r w:rsidRPr="00B12CE7">
        <w:rPr>
          <w:rFonts w:ascii="Miriam" w:eastAsia="Miriam" w:hAnsi="Miriam" w:cs="Miriam"/>
          <w:color w:val="1F4E79" w:themeColor="accent1" w:themeShade="80"/>
          <w:sz w:val="23"/>
          <w:szCs w:val="23"/>
          <w:rtl/>
        </w:rPr>
        <w:tab/>
      </w:r>
      <w:r w:rsidRPr="00B12CE7">
        <w:rPr>
          <w:rFonts w:ascii="Miriam" w:eastAsia="Miriam" w:hAnsi="Miriam" w:cs="Miriam"/>
          <w:color w:val="1F4E79" w:themeColor="accent1" w:themeShade="80"/>
          <w:sz w:val="23"/>
          <w:szCs w:val="23"/>
          <w:rtl/>
        </w:rPr>
        <w:tab/>
        <w:t xml:space="preserve">"תכליתו של הפיצוי שנפסק היא לשוב ולהבהיר, כי במדינה דמוקרטית עיכוב או מעצר אינם,  ואסור שיהיו, אמצעי ענישה או הרתעה: עיכוב או מעצר הם אמצעים קשים, שיש לעשות בהם </w:t>
      </w:r>
      <w:r w:rsidRPr="00B12CE7">
        <w:rPr>
          <w:rFonts w:ascii="Miriam" w:eastAsia="Miriam" w:hAnsi="Miriam" w:cs="Miriam"/>
          <w:color w:val="1F4E79" w:themeColor="accent1" w:themeShade="80"/>
          <w:sz w:val="23"/>
          <w:szCs w:val="23"/>
          <w:rtl/>
        </w:rPr>
        <w:lastRenderedPageBreak/>
        <w:t>שימוש רק כאשר אין דרך אחרת, פוגענית פחות, להשיג את אותן תכליות".</w:t>
      </w:r>
      <w:r w:rsidRPr="00B12CE7">
        <w:rPr>
          <w:rFonts w:ascii="Arimo" w:eastAsia="Arimo" w:hAnsi="Arimo" w:cs="Arimo"/>
          <w:color w:val="1F4E79" w:themeColor="accent1" w:themeShade="80"/>
        </w:rPr>
        <w:t xml:space="preserve"> </w:t>
      </w:r>
    </w:p>
    <w:p w:rsidR="00C465BD" w:rsidRPr="00B12CE7" w:rsidRDefault="00C465BD" w:rsidP="00C465BD">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color w:val="1F4E79" w:themeColor="accent1" w:themeShade="80"/>
          <w:sz w:val="26"/>
          <w:szCs w:val="26"/>
        </w:rPr>
      </w:pPr>
      <w:r w:rsidRPr="00B12CE7">
        <w:rPr>
          <w:rFonts w:ascii="FrankRuehl" w:eastAsia="Arimo" w:hAnsi="FrankRuehl" w:cs="FrankRuehl"/>
          <w:color w:val="1F4E79" w:themeColor="accent1" w:themeShade="80"/>
          <w:sz w:val="26"/>
          <w:szCs w:val="26"/>
          <w:rtl/>
        </w:rPr>
        <w:t xml:space="preserve">על כן, כאמור, חויבה המדינה לפצות את העיתונאי בסכום של 20,000 ₪, בתוספת הוצאות משפט בסך 5,000 ₪ ושכר טרחת עו"ד בסך 11,700 ₪. </w:t>
      </w:r>
    </w:p>
    <w:p w:rsidR="00663F4D" w:rsidRPr="00B12CE7" w:rsidRDefault="00663F4D" w:rsidP="00663F4D">
      <w:pPr>
        <w:spacing w:after="120" w:line="360" w:lineRule="auto"/>
        <w:jc w:val="center"/>
        <w:rPr>
          <w:rFonts w:ascii="FrankRuehl" w:eastAsia="FrankRuehl" w:hAnsi="FrankRuehl" w:cs="FrankRuehl"/>
          <w:b/>
          <w:color w:val="1F4E79" w:themeColor="accent1" w:themeShade="80"/>
          <w:sz w:val="27"/>
          <w:szCs w:val="27"/>
          <w:rtl/>
        </w:rPr>
      </w:pPr>
    </w:p>
    <w:p w:rsidR="00663F4D" w:rsidRPr="00B12CE7" w:rsidRDefault="00663F4D" w:rsidP="00893378">
      <w:pPr>
        <w:pBdr>
          <w:top w:val="nil"/>
          <w:left w:val="nil"/>
          <w:bottom w:val="nil"/>
          <w:right w:val="nil"/>
          <w:between w:val="nil"/>
        </w:pBdr>
        <w:tabs>
          <w:tab w:val="left" w:pos="800"/>
        </w:tabs>
        <w:spacing w:before="120" w:after="240" w:line="360" w:lineRule="auto"/>
        <w:ind w:left="543" w:right="567"/>
        <w:jc w:val="both"/>
        <w:rPr>
          <w:rFonts w:ascii="FrankRuehl" w:eastAsia="Arimo" w:hAnsi="FrankRuehl" w:cs="FrankRuehl"/>
          <w:b/>
          <w:bCs/>
          <w:color w:val="1F4E79" w:themeColor="accent1" w:themeShade="80"/>
          <w:sz w:val="26"/>
          <w:szCs w:val="26"/>
        </w:rPr>
      </w:pPr>
      <w:r w:rsidRPr="00B12CE7">
        <w:rPr>
          <w:rFonts w:ascii="FrankRuehl" w:eastAsia="Arimo" w:hAnsi="FrankRuehl" w:cs="FrankRuehl"/>
          <w:b/>
          <w:bCs/>
          <w:color w:val="1F4E79" w:themeColor="accent1" w:themeShade="80"/>
          <w:sz w:val="26"/>
          <w:szCs w:val="26"/>
          <w:rtl/>
        </w:rPr>
        <w:t xml:space="preserve">*** התקציר אינו </w:t>
      </w:r>
      <w:r w:rsidRPr="00B12CE7">
        <w:rPr>
          <w:rFonts w:ascii="FrankRuehl" w:eastAsia="Arimo" w:hAnsi="FrankRuehl" w:cs="FrankRuehl" w:hint="cs"/>
          <w:b/>
          <w:bCs/>
          <w:color w:val="1F4E79" w:themeColor="accent1" w:themeShade="80"/>
          <w:sz w:val="26"/>
          <w:szCs w:val="26"/>
          <w:rtl/>
        </w:rPr>
        <w:t>מחליף</w:t>
      </w:r>
      <w:r w:rsidRPr="00B12CE7">
        <w:rPr>
          <w:rFonts w:ascii="FrankRuehl" w:eastAsia="Arimo" w:hAnsi="FrankRuehl" w:cs="FrankRuehl"/>
          <w:b/>
          <w:bCs/>
          <w:color w:val="1F4E79" w:themeColor="accent1" w:themeShade="80"/>
          <w:sz w:val="26"/>
          <w:szCs w:val="26"/>
          <w:rtl/>
        </w:rPr>
        <w:t xml:space="preserve"> את פסק-הדין, הנוסח המחייב הוא זה של פסק-הדין המלא ***</w:t>
      </w:r>
    </w:p>
    <w:p w:rsidR="009C4D3F" w:rsidRPr="00B12CE7" w:rsidRDefault="009C4D3F">
      <w:pPr>
        <w:rPr>
          <w:color w:val="1F4E79" w:themeColor="accent1" w:themeShade="80"/>
        </w:rPr>
      </w:pPr>
    </w:p>
    <w:sectPr w:rsidR="009C4D3F" w:rsidRPr="00B12CE7">
      <w:headerReference w:type="default" r:id="rId6"/>
      <w:footerReference w:type="default" r:id="rId7"/>
      <w:pgSz w:w="11906" w:h="16838"/>
      <w:pgMar w:top="1440" w:right="1800" w:bottom="1440" w:left="180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991" w:rsidRDefault="008C3991" w:rsidP="00663F4D">
      <w:pPr>
        <w:spacing w:after="0" w:line="240" w:lineRule="auto"/>
      </w:pPr>
      <w:r>
        <w:separator/>
      </w:r>
    </w:p>
  </w:endnote>
  <w:endnote w:type="continuationSeparator" w:id="0">
    <w:p w:rsidR="008C3991" w:rsidRDefault="008C3991" w:rsidP="00663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mo">
    <w:altName w:val="Times New Roman"/>
    <w:charset w:val="00"/>
    <w:family w:val="auto"/>
    <w:pitch w:val="default"/>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767" w:rsidRDefault="00F50C6F">
    <w:pPr>
      <w:tabs>
        <w:tab w:val="center" w:pos="4153"/>
        <w:tab w:val="right" w:pos="8306"/>
      </w:tabs>
      <w:spacing w:after="0" w:line="240" w:lineRule="auto"/>
      <w:rPr>
        <w:rFonts w:ascii="Times New Roman" w:eastAsia="Times New Roman" w:hAnsi="Times New Roman" w:cs="Times New Roman"/>
        <w:b/>
        <w:color w:val="000080"/>
        <w:sz w:val="24"/>
        <w:szCs w:val="24"/>
      </w:rPr>
    </w:pPr>
    <w:r>
      <w:rPr>
        <w:rFonts w:ascii="Times New Roman" w:eastAsia="Times New Roman" w:hAnsi="Times New Roman" w:cs="Times New Roman"/>
        <w:b/>
        <w:color w:val="000080"/>
        <w:sz w:val="24"/>
        <w:szCs w:val="24"/>
      </w:rPr>
      <w:t>________________________________________________________________</w:t>
    </w:r>
  </w:p>
  <w:p w:rsidR="00070767" w:rsidRDefault="00F50C6F">
    <w:pPr>
      <w:tabs>
        <w:tab w:val="center" w:pos="4153"/>
        <w:tab w:val="right" w:pos="8306"/>
      </w:tabs>
      <w:spacing w:after="0" w:line="240" w:lineRule="auto"/>
      <w:jc w:val="center"/>
      <w:rPr>
        <w:rFonts w:ascii="Times New Roman" w:eastAsia="Times New Roman" w:hAnsi="Times New Roman" w:cs="Times New Roman"/>
        <w:b/>
        <w:color w:val="000080"/>
        <w:sz w:val="24"/>
        <w:szCs w:val="24"/>
      </w:rPr>
    </w:pPr>
    <w:r>
      <w:rPr>
        <w:rFonts w:ascii="Times New Roman" w:eastAsia="Times New Roman" w:hAnsi="Times New Roman" w:cs="Times New Roman"/>
        <w:b/>
        <w:color w:val="000080"/>
        <w:sz w:val="24"/>
        <w:szCs w:val="24"/>
        <w:rtl/>
      </w:rPr>
      <w:t>בית משפט העליון | דרך השופט מאיר שמגר 1 | קרית בן גוריון | ירושלים</w:t>
    </w:r>
  </w:p>
  <w:p w:rsidR="00070767" w:rsidRDefault="00F50C6F">
    <w:pPr>
      <w:tabs>
        <w:tab w:val="center" w:pos="4153"/>
        <w:tab w:val="right" w:pos="8306"/>
      </w:tabs>
      <w:spacing w:after="0" w:line="240" w:lineRule="auto"/>
      <w:jc w:val="center"/>
      <w:rPr>
        <w:rFonts w:ascii="Times New Roman" w:eastAsia="Times New Roman" w:hAnsi="Times New Roman" w:cs="Times New Roman"/>
        <w:b/>
        <w:color w:val="000080"/>
        <w:sz w:val="24"/>
        <w:szCs w:val="24"/>
      </w:rPr>
    </w:pPr>
    <w:r>
      <w:rPr>
        <w:rFonts w:ascii="Times New Roman" w:eastAsia="Times New Roman" w:hAnsi="Times New Roman" w:cs="Times New Roman"/>
        <w:b/>
        <w:color w:val="000080"/>
        <w:sz w:val="24"/>
        <w:szCs w:val="24"/>
        <w:rtl/>
      </w:rPr>
      <w:t xml:space="preserve">טל: 074-7480412                       דוא"ל:  </w:t>
    </w:r>
    <w:hyperlink r:id="rId1">
      <w:r>
        <w:rPr>
          <w:rFonts w:ascii="Times New Roman" w:eastAsia="Times New Roman" w:hAnsi="Times New Roman" w:cs="Times New Roman"/>
          <w:b/>
          <w:color w:val="0000FF"/>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991" w:rsidRDefault="008C3991" w:rsidP="00663F4D">
      <w:pPr>
        <w:spacing w:after="0" w:line="240" w:lineRule="auto"/>
      </w:pPr>
      <w:r>
        <w:separator/>
      </w:r>
    </w:p>
  </w:footnote>
  <w:footnote w:type="continuationSeparator" w:id="0">
    <w:p w:rsidR="008C3991" w:rsidRDefault="008C3991" w:rsidP="00663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0767" w:rsidRDefault="00F50C6F" w:rsidP="00663F4D">
    <w:pPr>
      <w:tabs>
        <w:tab w:val="center" w:pos="4153"/>
        <w:tab w:val="right" w:pos="8306"/>
      </w:tabs>
      <w:spacing w:after="0" w:line="240" w:lineRule="auto"/>
      <w:jc w:val="center"/>
      <w:rPr>
        <w:rFonts w:ascii="Times New Roman" w:eastAsia="Times New Roman" w:hAnsi="Times New Roman" w:cs="Times New Roman"/>
        <w:sz w:val="20"/>
        <w:szCs w:val="20"/>
      </w:rPr>
    </w:pPr>
    <w:r>
      <w:rPr>
        <w:rFonts w:ascii="Century" w:eastAsia="Century" w:hAnsi="Century" w:cs="Century"/>
        <w:sz w:val="20"/>
        <w:szCs w:val="20"/>
      </w:rPr>
      <w:t xml:space="preserve">                       </w:t>
    </w:r>
    <w:r w:rsidR="00663F4D">
      <w:rPr>
        <w:rFonts w:ascii="Times New Roman" w:eastAsia="Times New Roman" w:hAnsi="Times New Roman" w:cs="Times New Roman"/>
        <w:noProof/>
        <w:sz w:val="20"/>
        <w:szCs w:val="20"/>
      </w:rPr>
      <w:drawing>
        <wp:inline distT="0" distB="0" distL="0" distR="0" wp14:anchorId="25E223F9" wp14:editId="6F8AC8CB">
          <wp:extent cx="523875" cy="619125"/>
          <wp:effectExtent l="0" t="0" r="0" b="0"/>
          <wp:docPr id="1" name="image1.png" descr="תיאור: semel"/>
          <wp:cNvGraphicFramePr/>
          <a:graphic xmlns:a="http://schemas.openxmlformats.org/drawingml/2006/main">
            <a:graphicData uri="http://schemas.openxmlformats.org/drawingml/2006/picture">
              <pic:pic xmlns:pic="http://schemas.openxmlformats.org/drawingml/2006/picture">
                <pic:nvPicPr>
                  <pic:cNvPr id="0" name="image1.png" descr="תיאור: semel"/>
                  <pic:cNvPicPr preferRelativeResize="0"/>
                </pic:nvPicPr>
                <pic:blipFill>
                  <a:blip r:embed="rId1"/>
                  <a:srcRect/>
                  <a:stretch>
                    <a:fillRect/>
                  </a:stretch>
                </pic:blipFill>
                <pic:spPr>
                  <a:xfrm>
                    <a:off x="0" y="0"/>
                    <a:ext cx="523875" cy="619125"/>
                  </a:xfrm>
                  <a:prstGeom prst="rect">
                    <a:avLst/>
                  </a:prstGeom>
                  <a:ln/>
                </pic:spPr>
              </pic:pic>
            </a:graphicData>
          </a:graphic>
        </wp:inline>
      </w:drawing>
    </w:r>
    <w:r>
      <w:rPr>
        <w:rFonts w:ascii="Century" w:eastAsia="Century" w:hAnsi="Century" w:cs="Century"/>
        <w:sz w:val="20"/>
        <w:szCs w:val="20"/>
      </w:rPr>
      <w:t xml:space="preserve">                     </w:t>
    </w:r>
  </w:p>
  <w:p w:rsidR="00070767" w:rsidRDefault="00F50C6F">
    <w:pPr>
      <w:tabs>
        <w:tab w:val="center" w:pos="4153"/>
        <w:tab w:val="right" w:pos="8306"/>
      </w:tabs>
      <w:spacing w:after="0" w:line="240" w:lineRule="auto"/>
      <w:jc w:val="center"/>
      <w:rPr>
        <w:rFonts w:ascii="Times New Roman" w:eastAsia="Times New Roman" w:hAnsi="Times New Roman" w:cs="Times New Roman"/>
        <w:b/>
        <w:color w:val="000080"/>
        <w:sz w:val="28"/>
        <w:szCs w:val="28"/>
      </w:rPr>
    </w:pPr>
    <w:r>
      <w:rPr>
        <w:rFonts w:ascii="Times New Roman" w:eastAsia="Times New Roman" w:hAnsi="Times New Roman" w:cs="Times New Roman"/>
        <w:b/>
        <w:color w:val="000080"/>
        <w:sz w:val="28"/>
        <w:szCs w:val="28"/>
        <w:rtl/>
      </w:rPr>
      <w:t>מערכת בתי המשפט</w:t>
    </w:r>
  </w:p>
  <w:p w:rsidR="00070767" w:rsidRDefault="00F50C6F">
    <w:pPr>
      <w:tabs>
        <w:tab w:val="center" w:pos="4153"/>
        <w:tab w:val="right" w:pos="8306"/>
      </w:tabs>
      <w:spacing w:after="0" w:line="240" w:lineRule="auto"/>
      <w:jc w:val="center"/>
      <w:rPr>
        <w:rFonts w:ascii="Times New Roman" w:eastAsia="Times New Roman" w:hAnsi="Times New Roman" w:cs="Times New Roman"/>
        <w:b/>
        <w:color w:val="000080"/>
        <w:sz w:val="28"/>
        <w:szCs w:val="28"/>
      </w:rPr>
    </w:pPr>
    <w:r>
      <w:rPr>
        <w:rFonts w:ascii="Times New Roman" w:eastAsia="Times New Roman" w:hAnsi="Times New Roman" w:cs="Times New Roman"/>
        <w:b/>
        <w:color w:val="000080"/>
        <w:sz w:val="28"/>
        <w:szCs w:val="28"/>
        <w:rtl/>
      </w:rPr>
      <w:t>דוברות והסברה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42D"/>
    <w:rsid w:val="00567BDA"/>
    <w:rsid w:val="005B6DA7"/>
    <w:rsid w:val="005D242D"/>
    <w:rsid w:val="005D6878"/>
    <w:rsid w:val="00663F4D"/>
    <w:rsid w:val="007C2673"/>
    <w:rsid w:val="00880C16"/>
    <w:rsid w:val="00893378"/>
    <w:rsid w:val="008C3991"/>
    <w:rsid w:val="009C4D3F"/>
    <w:rsid w:val="009E32CC"/>
    <w:rsid w:val="00A92854"/>
    <w:rsid w:val="00AE14B7"/>
    <w:rsid w:val="00B12CE7"/>
    <w:rsid w:val="00B133D3"/>
    <w:rsid w:val="00C465BD"/>
    <w:rsid w:val="00DA6B8B"/>
    <w:rsid w:val="00E0570F"/>
    <w:rsid w:val="00F50C6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1C6882-72B1-4B42-A1ED-5888C0FA3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63F4D"/>
    <w:pPr>
      <w:bidi/>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3F4D"/>
    <w:pPr>
      <w:tabs>
        <w:tab w:val="center" w:pos="4153"/>
        <w:tab w:val="right" w:pos="8306"/>
      </w:tabs>
      <w:spacing w:after="0" w:line="240" w:lineRule="auto"/>
    </w:pPr>
  </w:style>
  <w:style w:type="character" w:customStyle="1" w:styleId="a4">
    <w:name w:val="כותרת עליונה תו"/>
    <w:basedOn w:val="a0"/>
    <w:link w:val="a3"/>
    <w:uiPriority w:val="99"/>
    <w:rsid w:val="00663F4D"/>
    <w:rPr>
      <w:rFonts w:ascii="Calibri" w:eastAsia="Calibri" w:hAnsi="Calibri" w:cs="Calibri"/>
    </w:rPr>
  </w:style>
  <w:style w:type="paragraph" w:styleId="a5">
    <w:name w:val="footer"/>
    <w:basedOn w:val="a"/>
    <w:link w:val="a6"/>
    <w:uiPriority w:val="99"/>
    <w:unhideWhenUsed/>
    <w:rsid w:val="00663F4D"/>
    <w:pPr>
      <w:tabs>
        <w:tab w:val="center" w:pos="4153"/>
        <w:tab w:val="right" w:pos="8306"/>
      </w:tabs>
      <w:spacing w:after="0" w:line="240" w:lineRule="auto"/>
    </w:pPr>
  </w:style>
  <w:style w:type="character" w:customStyle="1" w:styleId="a6">
    <w:name w:val="כותרת תחתונה תו"/>
    <w:basedOn w:val="a0"/>
    <w:link w:val="a5"/>
    <w:uiPriority w:val="99"/>
    <w:rsid w:val="00663F4D"/>
    <w:rPr>
      <w:rFonts w:ascii="Calibri" w:eastAsia="Calibri" w:hAnsi="Calibri" w:cs="Calibri"/>
    </w:rPr>
  </w:style>
  <w:style w:type="paragraph" w:styleId="a7">
    <w:name w:val="List Paragraph"/>
    <w:basedOn w:val="a"/>
    <w:uiPriority w:val="34"/>
    <w:qFormat/>
    <w:rsid w:val="00893378"/>
    <w:pPr>
      <w:spacing w:line="254"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66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442</Words>
  <Characters>2215</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נעמה שחר</dc:creator>
  <cp:keywords/>
  <dc:description/>
  <cp:lastModifiedBy>גרמאו מנגיסטו</cp:lastModifiedBy>
  <cp:revision>2</cp:revision>
  <dcterms:created xsi:type="dcterms:W3CDTF">2024-09-22T10:33:00Z</dcterms:created>
  <dcterms:modified xsi:type="dcterms:W3CDTF">2024-09-22T10:33:00Z</dcterms:modified>
</cp:coreProperties>
</file>